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bidiVisual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72"/>
        <w:gridCol w:w="3060"/>
      </w:tblGrid>
      <w:tr w:rsidR="005C7E62" w:rsidRPr="007A41FC" w14:paraId="1DE7A63C" w14:textId="77777777">
        <w:trPr>
          <w:trHeight w:val="1123"/>
        </w:trPr>
        <w:tc>
          <w:tcPr>
            <w:tcW w:w="6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0C2D7" w14:textId="77777777" w:rsidR="005C7E62" w:rsidRPr="007A41FC" w:rsidRDefault="00F85E0B" w:rsidP="007A41FC">
            <w:pPr>
              <w:pStyle w:val="NoSpacing"/>
              <w:rPr>
                <w:rFonts w:ascii="Calibri" w:hAnsi="Calibri" w:cs="Calibri"/>
              </w:rPr>
            </w:pPr>
            <w:r w:rsidRPr="007A41FC">
              <w:rPr>
                <w:rFonts w:ascii="Calibri" w:hAnsi="Calibri" w:cs="Calibri"/>
              </w:rPr>
              <w:t>Webinar Details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F9443" w14:textId="77777777" w:rsidR="005C7E62" w:rsidRPr="007A41FC" w:rsidRDefault="00F85E0B" w:rsidP="007A41FC">
            <w:pPr>
              <w:pStyle w:val="NoSpacing"/>
              <w:rPr>
                <w:rFonts w:ascii="Calibri" w:hAnsi="Calibri" w:cs="Calibri"/>
              </w:rPr>
            </w:pPr>
            <w:r w:rsidRPr="007A41FC">
              <w:rPr>
                <w:rFonts w:ascii="Calibri" w:hAnsi="Calibri" w:cs="Calibri"/>
                <w:noProof/>
                <w:sz w:val="20"/>
                <w:szCs w:val="20"/>
                <w:rtl/>
              </w:rPr>
              <w:drawing>
                <wp:inline distT="0" distB="0" distL="0" distR="0" wp14:anchorId="5D3D7C10" wp14:editId="1ACD68CD">
                  <wp:extent cx="1570990" cy="68262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990" cy="682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101BE" w14:textId="77777777" w:rsidR="005C7E62" w:rsidRPr="007A41FC" w:rsidRDefault="005C7E62" w:rsidP="007A41FC">
      <w:pPr>
        <w:pStyle w:val="NoSpacing"/>
        <w:rPr>
          <w:rFonts w:ascii="Calibri" w:hAnsi="Calibri" w:cs="Calibri"/>
        </w:rPr>
      </w:pPr>
    </w:p>
    <w:p w14:paraId="050CCDD6" w14:textId="77777777" w:rsidR="005C7E62" w:rsidRPr="007A41FC" w:rsidRDefault="005C7E62" w:rsidP="007A41FC">
      <w:pPr>
        <w:pStyle w:val="NoSpacing"/>
        <w:rPr>
          <w:rFonts w:ascii="Calibri" w:hAnsi="Calibri" w:cs="Calibri"/>
        </w:rPr>
      </w:pPr>
    </w:p>
    <w:tbl>
      <w:tblPr>
        <w:bidiVisual/>
        <w:tblW w:w="9638" w:type="dxa"/>
        <w:tblInd w:w="1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5C7E62" w:rsidRPr="007A41FC" w14:paraId="4F35A406" w14:textId="77777777" w:rsidTr="00746677">
        <w:trPr>
          <w:trHeight w:val="563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14F3A" w14:textId="182EACF2" w:rsidR="005C7E62" w:rsidRPr="007A41FC" w:rsidRDefault="00F85E0B" w:rsidP="007A41FC">
            <w:pPr>
              <w:pStyle w:val="NoSpacing"/>
              <w:rPr>
                <w:rFonts w:ascii="Calibri" w:hAnsi="Calibri" w:cs="Calibri"/>
              </w:rPr>
            </w:pPr>
            <w:r w:rsidRPr="007A41FC">
              <w:rPr>
                <w:rFonts w:ascii="Calibri" w:hAnsi="Calibri" w:cs="Calibri"/>
                <w:b/>
                <w:bCs/>
              </w:rPr>
              <w:t>Position</w:t>
            </w:r>
            <w:r w:rsidRPr="007A41FC">
              <w:rPr>
                <w:rFonts w:ascii="Calibri" w:hAnsi="Calibri" w:cs="Calibri"/>
              </w:rPr>
              <w:t>:</w:t>
            </w:r>
            <w:r w:rsidR="00C14F5D" w:rsidRPr="007A41FC">
              <w:rPr>
                <w:rFonts w:ascii="Calibri" w:hAnsi="Calibri" w:cs="Calibri"/>
              </w:rPr>
              <w:t xml:space="preserve"> </w:t>
            </w:r>
            <w:r w:rsidR="007A41FC">
              <w:rPr>
                <w:rFonts w:ascii="Calibri" w:hAnsi="Calibri" w:cs="Calibri"/>
              </w:rPr>
              <w:t>Director, The Ferryfield Group</w:t>
            </w: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93EA8" w14:textId="06486D0C" w:rsidR="005C7E62" w:rsidRPr="007A41FC" w:rsidRDefault="00F85E0B" w:rsidP="007A41FC">
            <w:pPr>
              <w:pStyle w:val="NoSpacing"/>
              <w:rPr>
                <w:rFonts w:ascii="Calibri" w:hAnsi="Calibri" w:cs="Calibri"/>
              </w:rPr>
            </w:pPr>
            <w:proofErr w:type="gramStart"/>
            <w:r w:rsidRPr="007A41FC">
              <w:rPr>
                <w:rFonts w:ascii="Calibri" w:hAnsi="Calibri" w:cs="Calibri"/>
                <w:b/>
                <w:bCs/>
              </w:rPr>
              <w:t>Name</w:t>
            </w:r>
            <w:r w:rsidR="000467A0" w:rsidRPr="007A41FC">
              <w:rPr>
                <w:rFonts w:ascii="Calibri" w:hAnsi="Calibri" w:cs="Calibri"/>
              </w:rPr>
              <w:t xml:space="preserve"> </w:t>
            </w:r>
            <w:r w:rsidRPr="007A41FC">
              <w:rPr>
                <w:rFonts w:ascii="Calibri" w:hAnsi="Calibri" w:cs="Calibri"/>
              </w:rPr>
              <w:t>:</w:t>
            </w:r>
            <w:proofErr w:type="gramEnd"/>
            <w:r w:rsidR="00C14F5D" w:rsidRPr="007A41FC">
              <w:rPr>
                <w:rFonts w:ascii="Calibri" w:hAnsi="Calibri" w:cs="Calibri"/>
              </w:rPr>
              <w:t xml:space="preserve"> </w:t>
            </w:r>
            <w:r w:rsidR="007A41FC" w:rsidRPr="007A41FC">
              <w:rPr>
                <w:rFonts w:ascii="Calibri" w:hAnsi="Calibri" w:cs="Calibri"/>
              </w:rPr>
              <w:t>Doug Oldfield</w:t>
            </w:r>
          </w:p>
        </w:tc>
      </w:tr>
      <w:tr w:rsidR="005C7E62" w:rsidRPr="007A41FC" w14:paraId="203945F1" w14:textId="77777777" w:rsidTr="00746677">
        <w:trPr>
          <w:trHeight w:val="1795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D166F" w14:textId="31266102" w:rsidR="007A41FC" w:rsidRPr="007A41FC" w:rsidRDefault="00F85E0B" w:rsidP="007A41FC">
            <w:pPr>
              <w:pStyle w:val="NoSpacing"/>
              <w:rPr>
                <w:rFonts w:ascii="Calibri" w:eastAsia="Cambria" w:hAnsi="Calibri" w:cs="Calibri"/>
                <w:color w:val="000000"/>
                <w:kern w:val="2"/>
                <w:u w:color="000000"/>
              </w:rPr>
            </w:pPr>
            <w:r w:rsidRPr="007A41FC">
              <w:rPr>
                <w:rFonts w:ascii="Calibri" w:eastAsia="Cambria" w:hAnsi="Calibri" w:cs="Calibri"/>
                <w:b/>
                <w:bCs/>
                <w:color w:val="000000"/>
                <w:kern w:val="2"/>
                <w:u w:color="000000"/>
              </w:rPr>
              <w:t>Brief</w:t>
            </w:r>
            <w:r w:rsidRP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>:</w:t>
            </w:r>
            <w:r w:rsid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 xml:space="preserve"> </w:t>
            </w:r>
            <w:r w:rsid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br/>
            </w:r>
            <w:r w:rsid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br/>
            </w:r>
            <w:r w:rsidR="007A41FC" w:rsidRP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>Doug Oldfield is a Director of The Ferryfield Group, a</w:t>
            </w:r>
            <w:r w:rsid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 xml:space="preserve">n </w:t>
            </w:r>
            <w:proofErr w:type="spellStart"/>
            <w:r w:rsidR="007A41FC" w:rsidRP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>organisation</w:t>
            </w:r>
            <w:proofErr w:type="spellEnd"/>
            <w:r w:rsidR="007A41FC" w:rsidRP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 xml:space="preserve"> which </w:t>
            </w:r>
            <w:proofErr w:type="spellStart"/>
            <w:r w:rsidR="007A41FC" w:rsidRP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>specialises</w:t>
            </w:r>
            <w:proofErr w:type="spellEnd"/>
            <w:r w:rsidR="007A41FC" w:rsidRP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 xml:space="preserve"> in providing services to clients in the fields of quantitative risk analysis, risk management, and informed decision-making. </w:t>
            </w:r>
          </w:p>
          <w:p w14:paraId="0C828E53" w14:textId="77777777" w:rsidR="007A41FC" w:rsidRPr="007A41FC" w:rsidRDefault="007A41FC" w:rsidP="007A41FC">
            <w:pPr>
              <w:pStyle w:val="NoSpacing"/>
              <w:rPr>
                <w:rFonts w:ascii="Calibri" w:eastAsia="Cambria" w:hAnsi="Calibri" w:cs="Calibri"/>
                <w:color w:val="000000"/>
                <w:kern w:val="2"/>
                <w:u w:color="000000"/>
              </w:rPr>
            </w:pPr>
          </w:p>
          <w:p w14:paraId="079AAC25" w14:textId="6805BB79" w:rsidR="007A41FC" w:rsidRPr="007A41FC" w:rsidRDefault="007A41FC" w:rsidP="007A41FC">
            <w:pPr>
              <w:pStyle w:val="NoSpacing"/>
              <w:rPr>
                <w:rFonts w:ascii="Calibri" w:eastAsia="Cambria" w:hAnsi="Calibri" w:cs="Calibri"/>
                <w:color w:val="000000"/>
                <w:kern w:val="2"/>
                <w:u w:color="000000"/>
              </w:rPr>
            </w:pPr>
            <w:r w:rsidRP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>He has been working in risk</w:t>
            </w:r>
            <w:r w:rsidR="007D388D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 xml:space="preserve"> since 2008</w:t>
            </w:r>
            <w:r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>, primarily in the Middle East region</w:t>
            </w:r>
            <w:r w:rsidRP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>, when he joined Palisade, the makers of the @RISK software</w:t>
            </w:r>
            <w:r w:rsidR="0076334B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>. O</w:t>
            </w:r>
            <w:r w:rsidRP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>ver the years has worked with clients in industries ranging from energy, finance, and construction, through to aerospace/</w:t>
            </w:r>
            <w:proofErr w:type="spellStart"/>
            <w:r w:rsidRP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>defence</w:t>
            </w:r>
            <w:proofErr w:type="spellEnd"/>
            <w:r w:rsidRP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 xml:space="preserve">, utilities, and telecommunications. </w:t>
            </w:r>
          </w:p>
          <w:p w14:paraId="53CABE70" w14:textId="77777777" w:rsidR="007A41FC" w:rsidRPr="007A41FC" w:rsidRDefault="007A41FC" w:rsidP="007A41FC">
            <w:pPr>
              <w:pStyle w:val="NoSpacing"/>
              <w:rPr>
                <w:rFonts w:ascii="Calibri" w:eastAsia="Cambria" w:hAnsi="Calibri" w:cs="Calibri"/>
                <w:color w:val="000000"/>
                <w:kern w:val="2"/>
                <w:u w:color="000000"/>
              </w:rPr>
            </w:pPr>
          </w:p>
          <w:p w14:paraId="23F8B4F7" w14:textId="7E90E5D5" w:rsidR="007A41FC" w:rsidRPr="007A41FC" w:rsidRDefault="007A41FC" w:rsidP="007A41FC">
            <w:pPr>
              <w:pStyle w:val="NoSpacing"/>
              <w:rPr>
                <w:rFonts w:ascii="Calibri" w:eastAsia="Cambria" w:hAnsi="Calibri" w:cs="Calibri"/>
                <w:color w:val="000000"/>
                <w:kern w:val="2"/>
                <w:u w:color="000000"/>
              </w:rPr>
            </w:pPr>
            <w:r w:rsidRP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 xml:space="preserve">Doug estimates that he has given more than 1,500 presentations on how organisations can use Monte Carlo simulation to improve their decision-making capabilities. </w:t>
            </w:r>
          </w:p>
          <w:p w14:paraId="17433F40" w14:textId="77777777" w:rsidR="007A41FC" w:rsidRPr="007A41FC" w:rsidRDefault="007A41FC" w:rsidP="007A41FC">
            <w:pPr>
              <w:pStyle w:val="NoSpacing"/>
              <w:rPr>
                <w:rFonts w:ascii="Calibri" w:eastAsia="Cambria" w:hAnsi="Calibri" w:cs="Calibri"/>
                <w:color w:val="000000"/>
                <w:kern w:val="2"/>
                <w:u w:color="000000"/>
              </w:rPr>
            </w:pPr>
          </w:p>
          <w:p w14:paraId="57E250B9" w14:textId="5B63BB7F" w:rsidR="005C7E62" w:rsidRPr="007A41FC" w:rsidRDefault="007A41FC" w:rsidP="007A41FC">
            <w:pPr>
              <w:pStyle w:val="NoSpacing"/>
              <w:rPr>
                <w:rFonts w:ascii="Calibri" w:hAnsi="Calibri" w:cs="Calibri"/>
              </w:rPr>
            </w:pPr>
            <w:r w:rsidRP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 xml:space="preserve">He is a passionate advocate of the importance of performing quantitative risk analysis, and over the years has been a regular speaker on the topic at conferences worldwide. He has also delivered numerous workshops, training sessions, and consultancy engagements, on how to apply best practices &amp; principles in modelling cost and schedule risk within the </w:t>
            </w:r>
            <w:r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>p</w:t>
            </w:r>
            <w:r w:rsidRP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>roject</w:t>
            </w:r>
            <w:r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 xml:space="preserve"> </w:t>
            </w:r>
            <w:r w:rsidRP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>/</w:t>
            </w:r>
            <w:r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 xml:space="preserve"> </w:t>
            </w:r>
            <w:r w:rsidRP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>program</w:t>
            </w:r>
            <w:r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 xml:space="preserve"> </w:t>
            </w:r>
            <w:r w:rsidRP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>/</w:t>
            </w:r>
            <w:r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 xml:space="preserve"> </w:t>
            </w:r>
            <w:r w:rsidRP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>portfolio space.</w:t>
            </w:r>
          </w:p>
          <w:p w14:paraId="5E69E9C0" w14:textId="1C1CEC1A" w:rsidR="000467A0" w:rsidRPr="007A41FC" w:rsidRDefault="000467A0" w:rsidP="007A41F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5C7E62" w:rsidRPr="007A41FC" w14:paraId="4B0B5477" w14:textId="77777777" w:rsidTr="00746677">
        <w:trPr>
          <w:trHeight w:val="558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CE433" w14:textId="01E87742" w:rsidR="005C7E62" w:rsidRPr="007A41FC" w:rsidRDefault="00F85E0B" w:rsidP="007A41FC">
            <w:pPr>
              <w:pStyle w:val="NoSpacing"/>
              <w:rPr>
                <w:rFonts w:ascii="Calibri" w:hAnsi="Calibri" w:cs="Calibri"/>
              </w:rPr>
            </w:pPr>
            <w:r w:rsidRPr="007A41FC">
              <w:rPr>
                <w:rFonts w:ascii="Calibri" w:hAnsi="Calibri" w:cs="Calibri"/>
                <w:b/>
                <w:bCs/>
              </w:rPr>
              <w:t>Webinar title</w:t>
            </w:r>
            <w:r w:rsidRPr="007A41FC">
              <w:rPr>
                <w:rFonts w:ascii="Calibri" w:hAnsi="Calibri" w:cs="Calibri"/>
              </w:rPr>
              <w:t>:</w:t>
            </w:r>
            <w:r w:rsidR="00050F3A" w:rsidRPr="007A41FC">
              <w:rPr>
                <w:rFonts w:ascii="Calibri" w:hAnsi="Calibri" w:cs="Calibri"/>
              </w:rPr>
              <w:t xml:space="preserve"> </w:t>
            </w:r>
            <w:r w:rsidRPr="007A41FC">
              <w:rPr>
                <w:rFonts w:ascii="Calibri" w:eastAsia="DejaVu Sans" w:hAnsi="Calibri" w:cs="Calibri"/>
                <w:rtl/>
                <w:lang w:val="ar-SA"/>
              </w:rPr>
              <w:t xml:space="preserve"> </w:t>
            </w:r>
            <w:r w:rsidR="007A41FC" w:rsidRPr="007A41FC">
              <w:rPr>
                <w:rFonts w:ascii="Calibri" w:eastAsia="DejaVu Sans" w:hAnsi="Calibri" w:cs="Calibri"/>
                <w:lang w:val="ar-SA"/>
              </w:rPr>
              <w:t>Project Risk Evolved: Integrating Cost and Schedule Risk Analysis</w:t>
            </w:r>
          </w:p>
        </w:tc>
      </w:tr>
      <w:tr w:rsidR="005C7E62" w:rsidRPr="007A41FC" w14:paraId="4D920D1D" w14:textId="77777777" w:rsidTr="00746677">
        <w:trPr>
          <w:trHeight w:val="558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42E34" w14:textId="0AD9FF3A" w:rsidR="005C7E62" w:rsidRPr="007A41FC" w:rsidRDefault="00F85E0B" w:rsidP="007A41FC">
            <w:pPr>
              <w:pStyle w:val="NoSpacing"/>
              <w:rPr>
                <w:rFonts w:ascii="Calibri" w:hAnsi="Calibri" w:cs="Calibri"/>
              </w:rPr>
            </w:pPr>
            <w:r w:rsidRPr="007A41FC">
              <w:rPr>
                <w:rFonts w:ascii="Calibri" w:eastAsia="Cambria" w:hAnsi="Calibri" w:cs="Calibri"/>
                <w:b/>
                <w:bCs/>
                <w:color w:val="000000"/>
                <w:kern w:val="2"/>
                <w:u w:color="000000"/>
              </w:rPr>
              <w:t>Time</w:t>
            </w:r>
            <w:r w:rsidRP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>:</w:t>
            </w:r>
            <w:r w:rsidR="007A41FC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 xml:space="preserve"> </w:t>
            </w:r>
            <w:r w:rsidR="006D6405">
              <w:rPr>
                <w:rFonts w:ascii="Calibri" w:eastAsia="Cambria" w:hAnsi="Calibri" w:cs="Calibri"/>
                <w:color w:val="000000"/>
                <w:kern w:val="2"/>
                <w:u w:color="000000"/>
              </w:rPr>
              <w:t>TBC</w:t>
            </w: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D339D" w14:textId="4F4D3BC3" w:rsidR="005C7E62" w:rsidRPr="007A41FC" w:rsidRDefault="00F85E0B" w:rsidP="007A41FC">
            <w:pPr>
              <w:pStyle w:val="NoSpacing"/>
              <w:rPr>
                <w:rFonts w:ascii="Calibri" w:hAnsi="Calibri" w:cs="Calibri"/>
              </w:rPr>
            </w:pPr>
            <w:r w:rsidRPr="007A41FC">
              <w:rPr>
                <w:rFonts w:ascii="Calibri" w:eastAsia="Cambria" w:hAnsi="Calibri" w:cs="Calibri"/>
                <w:color w:val="000000"/>
              </w:rPr>
              <w:t xml:space="preserve"> </w:t>
            </w:r>
            <w:r w:rsidRPr="007A41FC">
              <w:rPr>
                <w:rFonts w:ascii="Calibri" w:eastAsia="Cambria" w:hAnsi="Calibri" w:cs="Calibri"/>
                <w:b/>
                <w:bCs/>
                <w:color w:val="000000"/>
              </w:rPr>
              <w:t>Date</w:t>
            </w:r>
            <w:r w:rsidR="007A41FC">
              <w:rPr>
                <w:rFonts w:ascii="Calibri" w:eastAsia="Cambria" w:hAnsi="Calibri" w:cs="Calibri"/>
                <w:color w:val="000000"/>
              </w:rPr>
              <w:t xml:space="preserve">: </w:t>
            </w:r>
            <w:r w:rsidR="006D6405">
              <w:rPr>
                <w:rFonts w:ascii="Calibri" w:eastAsia="Cambria" w:hAnsi="Calibri" w:cs="Calibri"/>
                <w:color w:val="000000"/>
              </w:rPr>
              <w:t>TBC but November</w:t>
            </w:r>
            <w:r w:rsidR="007A41FC">
              <w:rPr>
                <w:rFonts w:ascii="Calibri" w:eastAsia="Cambria" w:hAnsi="Calibri" w:cs="Calibri"/>
                <w:color w:val="000000"/>
              </w:rPr>
              <w:t xml:space="preserve"> 2022</w:t>
            </w:r>
          </w:p>
        </w:tc>
      </w:tr>
      <w:tr w:rsidR="005C7E62" w:rsidRPr="007A41FC" w14:paraId="4FA6EAC8" w14:textId="77777777" w:rsidTr="00746677">
        <w:trPr>
          <w:trHeight w:val="2395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71456" w14:textId="52E31D5C" w:rsidR="00B04C26" w:rsidRDefault="00F85E0B" w:rsidP="007A41FC">
            <w:pPr>
              <w:pStyle w:val="NoSpacing"/>
              <w:rPr>
                <w:rFonts w:ascii="Calibri" w:hAnsi="Calibri" w:cs="Calibri"/>
              </w:rPr>
            </w:pPr>
            <w:r w:rsidRPr="007A41FC">
              <w:rPr>
                <w:rFonts w:ascii="Calibri" w:hAnsi="Calibri" w:cs="Calibri"/>
                <w:b/>
                <w:bCs/>
              </w:rPr>
              <w:t>Description</w:t>
            </w:r>
            <w:r w:rsidRPr="007A41FC">
              <w:rPr>
                <w:rFonts w:ascii="Calibri" w:hAnsi="Calibri" w:cs="Calibri"/>
              </w:rPr>
              <w:t>:</w:t>
            </w:r>
            <w:r w:rsidR="0076334B">
              <w:rPr>
                <w:rFonts w:ascii="Calibri" w:hAnsi="Calibri" w:cs="Calibri"/>
              </w:rPr>
              <w:t xml:space="preserve"> The project controls world is often one of silos. It’s common to find team</w:t>
            </w:r>
            <w:r w:rsidR="007D388D">
              <w:rPr>
                <w:rFonts w:ascii="Calibri" w:hAnsi="Calibri" w:cs="Calibri"/>
              </w:rPr>
              <w:t xml:space="preserve">s </w:t>
            </w:r>
            <w:proofErr w:type="spellStart"/>
            <w:r w:rsidR="007D388D">
              <w:rPr>
                <w:rFonts w:ascii="Calibri" w:hAnsi="Calibri" w:cs="Calibri"/>
              </w:rPr>
              <w:t>analysing</w:t>
            </w:r>
            <w:proofErr w:type="spellEnd"/>
            <w:r w:rsidR="007D388D">
              <w:rPr>
                <w:rFonts w:ascii="Calibri" w:hAnsi="Calibri" w:cs="Calibri"/>
              </w:rPr>
              <w:t xml:space="preserve"> cost, schedule, and risk separately, because there hasn’t been a compelling enough reason - or easy </w:t>
            </w:r>
            <w:r w:rsidR="006D6405">
              <w:rPr>
                <w:rFonts w:ascii="Calibri" w:hAnsi="Calibri" w:cs="Calibri"/>
              </w:rPr>
              <w:t>method</w:t>
            </w:r>
            <w:r w:rsidR="007D388D">
              <w:rPr>
                <w:rFonts w:ascii="Calibri" w:hAnsi="Calibri" w:cs="Calibri"/>
              </w:rPr>
              <w:t xml:space="preserve"> – for linking them together more holisti</w:t>
            </w:r>
            <w:r w:rsidR="005E0281">
              <w:rPr>
                <w:rFonts w:ascii="Calibri" w:hAnsi="Calibri" w:cs="Calibri"/>
              </w:rPr>
              <w:t>cally</w:t>
            </w:r>
            <w:r w:rsidR="007D388D">
              <w:rPr>
                <w:rFonts w:ascii="Calibri" w:hAnsi="Calibri" w:cs="Calibri"/>
              </w:rPr>
              <w:t xml:space="preserve">. </w:t>
            </w:r>
          </w:p>
          <w:p w14:paraId="01C862CA" w14:textId="77777777" w:rsidR="00B04C26" w:rsidRDefault="00B04C26" w:rsidP="00B04C26">
            <w:pPr>
              <w:pStyle w:val="NoSpacing"/>
              <w:rPr>
                <w:rFonts w:ascii="Calibri" w:hAnsi="Calibri" w:cs="Calibri"/>
              </w:rPr>
            </w:pPr>
          </w:p>
          <w:p w14:paraId="6C678F68" w14:textId="2BC66291" w:rsidR="005C7E62" w:rsidRPr="007A41FC" w:rsidRDefault="00B04C26" w:rsidP="00B04C2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r</w:t>
            </w:r>
            <w:r w:rsidR="007D388D">
              <w:rPr>
                <w:rFonts w:ascii="Calibri" w:hAnsi="Calibri" w:cs="Calibri"/>
              </w:rPr>
              <w:t xml:space="preserve">ecent years </w:t>
            </w:r>
            <w:r>
              <w:rPr>
                <w:rFonts w:ascii="Calibri" w:hAnsi="Calibri" w:cs="Calibri"/>
              </w:rPr>
              <w:t>there’s been a</w:t>
            </w:r>
            <w:r w:rsidR="007D388D">
              <w:rPr>
                <w:rFonts w:ascii="Calibri" w:hAnsi="Calibri" w:cs="Calibri"/>
              </w:rPr>
              <w:t xml:space="preserve"> shift in best practices, and there</w:t>
            </w:r>
            <w:r>
              <w:rPr>
                <w:rFonts w:ascii="Calibri" w:hAnsi="Calibri" w:cs="Calibri"/>
              </w:rPr>
              <w:t xml:space="preserve">’s now increased awareness about the benefits of running an integrated cost &amp; schedule risk analysis. This presentation will explore how things have been done in the past, why a move towards a more joined-up approach is something that companies are </w:t>
            </w:r>
            <w:r w:rsidR="005E0281">
              <w:rPr>
                <w:rFonts w:ascii="Calibri" w:hAnsi="Calibri" w:cs="Calibri"/>
              </w:rPr>
              <w:t xml:space="preserve">increasingly </w:t>
            </w:r>
            <w:r>
              <w:rPr>
                <w:rFonts w:ascii="Calibri" w:hAnsi="Calibri" w:cs="Calibri"/>
              </w:rPr>
              <w:t xml:space="preserve">keen to do, and what it </w:t>
            </w:r>
            <w:r w:rsidR="005E0281">
              <w:rPr>
                <w:rFonts w:ascii="Calibri" w:hAnsi="Calibri" w:cs="Calibri"/>
              </w:rPr>
              <w:t>might look</w:t>
            </w:r>
            <w:r>
              <w:rPr>
                <w:rFonts w:ascii="Calibri" w:hAnsi="Calibri" w:cs="Calibri"/>
              </w:rPr>
              <w:t xml:space="preserve"> like in practice</w:t>
            </w:r>
            <w:r w:rsidR="005E0281">
              <w:rPr>
                <w:rFonts w:ascii="Calibri" w:hAnsi="Calibri" w:cs="Calibri"/>
              </w:rPr>
              <w:t>.</w:t>
            </w:r>
          </w:p>
          <w:p w14:paraId="5778C83F" w14:textId="77777777" w:rsidR="005C7E62" w:rsidRPr="007A41FC" w:rsidRDefault="005C7E62" w:rsidP="007A41F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5C7E62" w:rsidRPr="007A41FC" w14:paraId="2B85E8F1" w14:textId="77777777" w:rsidTr="00746677">
        <w:trPr>
          <w:trHeight w:val="2695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2170" w14:textId="08459D37" w:rsidR="005C7E62" w:rsidRPr="007A41FC" w:rsidRDefault="00F85E0B" w:rsidP="007A41FC">
            <w:pPr>
              <w:pStyle w:val="NoSpacing"/>
              <w:rPr>
                <w:rFonts w:ascii="Calibri" w:hAnsi="Calibri" w:cs="Calibri"/>
              </w:rPr>
            </w:pPr>
            <w:r w:rsidRPr="007A41FC">
              <w:rPr>
                <w:rFonts w:ascii="Calibri" w:hAnsi="Calibri" w:cs="Calibri"/>
                <w:b/>
                <w:bCs/>
              </w:rPr>
              <w:lastRenderedPageBreak/>
              <w:t>Objectives</w:t>
            </w:r>
            <w:r w:rsidRPr="007A41FC">
              <w:rPr>
                <w:rFonts w:ascii="Calibri" w:hAnsi="Calibri" w:cs="Calibri"/>
              </w:rPr>
              <w:t>:</w:t>
            </w:r>
          </w:p>
          <w:p w14:paraId="3986554D" w14:textId="77777777" w:rsidR="007A41FC" w:rsidRPr="007A41FC" w:rsidRDefault="007A41FC" w:rsidP="007A41FC">
            <w:pPr>
              <w:pStyle w:val="NoSpacing"/>
              <w:rPr>
                <w:rFonts w:ascii="Calibri" w:hAnsi="Calibri" w:cs="Calibri"/>
              </w:rPr>
            </w:pPr>
          </w:p>
          <w:p w14:paraId="78BE5237" w14:textId="27B9EB1B" w:rsidR="007A41FC" w:rsidRPr="007A41FC" w:rsidRDefault="007A41FC" w:rsidP="007A41FC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A41FC">
              <w:rPr>
                <w:rFonts w:ascii="Calibri" w:hAnsi="Calibri" w:cs="Calibri"/>
              </w:rPr>
              <w:t xml:space="preserve">Understand current best practices </w:t>
            </w:r>
            <w:r>
              <w:rPr>
                <w:rFonts w:ascii="Calibri" w:hAnsi="Calibri" w:cs="Calibri"/>
              </w:rPr>
              <w:t xml:space="preserve">when </w:t>
            </w:r>
            <w:r w:rsidRPr="007A41FC">
              <w:rPr>
                <w:rFonts w:ascii="Calibri" w:hAnsi="Calibri" w:cs="Calibri"/>
              </w:rPr>
              <w:t>running integrated cost and schedule risk analysis</w:t>
            </w:r>
            <w:r>
              <w:rPr>
                <w:rFonts w:ascii="Calibri" w:hAnsi="Calibri" w:cs="Calibri"/>
              </w:rPr>
              <w:t>, and the importance of a joined-up approach</w:t>
            </w:r>
          </w:p>
          <w:p w14:paraId="3865032A" w14:textId="77777777" w:rsidR="007A41FC" w:rsidRPr="007A41FC" w:rsidRDefault="007A41FC" w:rsidP="007A41FC">
            <w:pPr>
              <w:pStyle w:val="NoSpacing"/>
              <w:rPr>
                <w:rFonts w:ascii="Calibri" w:hAnsi="Calibri" w:cs="Calibri"/>
              </w:rPr>
            </w:pPr>
          </w:p>
          <w:p w14:paraId="16372D6A" w14:textId="6F718B13" w:rsidR="007A41FC" w:rsidRPr="007A41FC" w:rsidRDefault="007A41FC" w:rsidP="007A41FC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A41FC">
              <w:rPr>
                <w:rFonts w:ascii="Calibri" w:hAnsi="Calibri" w:cs="Calibri"/>
              </w:rPr>
              <w:t>Key differences between estimating uncertainty and risks, and how they impact upon cost and/or schedule</w:t>
            </w:r>
          </w:p>
          <w:p w14:paraId="5DD5F61A" w14:textId="77777777" w:rsidR="007A41FC" w:rsidRPr="007A41FC" w:rsidRDefault="007A41FC" w:rsidP="007A41FC">
            <w:pPr>
              <w:pStyle w:val="NoSpacing"/>
              <w:rPr>
                <w:rFonts w:ascii="Calibri" w:hAnsi="Calibri" w:cs="Calibri"/>
              </w:rPr>
            </w:pPr>
          </w:p>
          <w:p w14:paraId="744F1EEE" w14:textId="3E3BF2BF" w:rsidR="007A41FC" w:rsidRPr="007A41FC" w:rsidRDefault="005E0281" w:rsidP="007A41FC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Understanding how to </w:t>
            </w:r>
            <w:proofErr w:type="spellStart"/>
            <w:r>
              <w:rPr>
                <w:rFonts w:ascii="Calibri" w:hAnsi="Calibri" w:cs="Calibri"/>
              </w:rPr>
              <w:t>intepret</w:t>
            </w:r>
            <w:proofErr w:type="spellEnd"/>
            <w:r w:rsidR="007A41FC" w:rsidRPr="007A41FC">
              <w:rPr>
                <w:rFonts w:ascii="Calibri" w:hAnsi="Calibri" w:cs="Calibri"/>
              </w:rPr>
              <w:t xml:space="preserve"> scatter plots showing the interplay between cost and schedule</w:t>
            </w:r>
          </w:p>
          <w:p w14:paraId="1A628859" w14:textId="77777777" w:rsidR="007A41FC" w:rsidRPr="007A41FC" w:rsidRDefault="007A41FC" w:rsidP="007A41FC">
            <w:pPr>
              <w:pStyle w:val="NoSpacing"/>
              <w:rPr>
                <w:rFonts w:ascii="Calibri" w:hAnsi="Calibri" w:cs="Calibri"/>
              </w:rPr>
            </w:pPr>
          </w:p>
          <w:p w14:paraId="350C14C7" w14:textId="51A00335" w:rsidR="005C7E62" w:rsidRPr="007A41FC" w:rsidRDefault="007A41FC" w:rsidP="007A41FC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A41FC">
              <w:rPr>
                <w:rFonts w:ascii="Calibri" w:hAnsi="Calibri" w:cs="Calibri"/>
              </w:rPr>
              <w:t>Understanding the principles behind JCLs (Joint Confidence Levels), how they’re calculated, and how we can use them for contingency proposals and analysis</w:t>
            </w:r>
          </w:p>
        </w:tc>
      </w:tr>
    </w:tbl>
    <w:p w14:paraId="4B462670" w14:textId="7EC7E461" w:rsidR="005C7E62" w:rsidRDefault="005C7E62" w:rsidP="007A41FC">
      <w:pPr>
        <w:pStyle w:val="NoSpacing"/>
        <w:rPr>
          <w:rFonts w:ascii="Calibri" w:hAnsi="Calibri" w:cs="Calibri"/>
        </w:rPr>
      </w:pPr>
    </w:p>
    <w:p w14:paraId="55915EDD" w14:textId="4024B640" w:rsidR="006D6405" w:rsidRPr="007A41FC" w:rsidRDefault="006D6405" w:rsidP="007A41FC">
      <w:pPr>
        <w:pStyle w:val="NoSpacing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7BC2AB71" wp14:editId="329DFCD1">
            <wp:extent cx="6116320" cy="4596130"/>
            <wp:effectExtent l="0" t="190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16320" cy="45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405" w:rsidRPr="007A41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4C4E" w14:textId="77777777" w:rsidR="00A97224" w:rsidRDefault="00A97224">
      <w:r>
        <w:separator/>
      </w:r>
    </w:p>
  </w:endnote>
  <w:endnote w:type="continuationSeparator" w:id="0">
    <w:p w14:paraId="0F402908" w14:textId="77777777" w:rsidR="00A97224" w:rsidRDefault="00A9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2153" w14:textId="77777777" w:rsidR="00B1559D" w:rsidRDefault="00B15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D81C" w14:textId="77777777" w:rsidR="005C7E62" w:rsidRDefault="005C7E62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EE1E" w14:textId="77777777" w:rsidR="00B1559D" w:rsidRDefault="00B15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8688" w14:textId="77777777" w:rsidR="00A97224" w:rsidRDefault="00A97224">
      <w:r>
        <w:separator/>
      </w:r>
    </w:p>
  </w:footnote>
  <w:footnote w:type="continuationSeparator" w:id="0">
    <w:p w14:paraId="3A5F09B4" w14:textId="77777777" w:rsidR="00A97224" w:rsidRDefault="00A9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6B0C" w14:textId="77777777" w:rsidR="00B1559D" w:rsidRDefault="00B15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0206" w14:textId="77777777" w:rsidR="005C7E62" w:rsidRDefault="005C7E62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64A3" w14:textId="77777777" w:rsidR="00B1559D" w:rsidRDefault="00B15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013C"/>
    <w:multiLevelType w:val="hybridMultilevel"/>
    <w:tmpl w:val="2D2C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2351B"/>
    <w:multiLevelType w:val="hybridMultilevel"/>
    <w:tmpl w:val="8C9CDAD4"/>
    <w:lvl w:ilvl="0" w:tplc="64965522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417039">
    <w:abstractNumId w:val="1"/>
  </w:num>
  <w:num w:numId="2" w16cid:durableId="10003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hideGrammaticalErrors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62"/>
    <w:rsid w:val="000467A0"/>
    <w:rsid w:val="00050F3A"/>
    <w:rsid w:val="00122324"/>
    <w:rsid w:val="00136811"/>
    <w:rsid w:val="001A19FB"/>
    <w:rsid w:val="00380252"/>
    <w:rsid w:val="005139B5"/>
    <w:rsid w:val="0055035A"/>
    <w:rsid w:val="005C7E62"/>
    <w:rsid w:val="005E0281"/>
    <w:rsid w:val="006D6405"/>
    <w:rsid w:val="006E0205"/>
    <w:rsid w:val="00746677"/>
    <w:rsid w:val="0076334B"/>
    <w:rsid w:val="007A41FC"/>
    <w:rsid w:val="007B320E"/>
    <w:rsid w:val="007D388D"/>
    <w:rsid w:val="008954AE"/>
    <w:rsid w:val="008E4488"/>
    <w:rsid w:val="00A97224"/>
    <w:rsid w:val="00AD1D95"/>
    <w:rsid w:val="00B04C26"/>
    <w:rsid w:val="00B1559D"/>
    <w:rsid w:val="00C14F5D"/>
    <w:rsid w:val="00C51CF4"/>
    <w:rsid w:val="00D02492"/>
    <w:rsid w:val="00D91A50"/>
    <w:rsid w:val="00E96B1A"/>
    <w:rsid w:val="00EC062B"/>
    <w:rsid w:val="00F8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49766"/>
  <w15:docId w15:val="{44A5D4C2-A5EA-4D36-A128-F6E587DD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2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bidi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a">
    <w:name w:val="محتويات الجدول"/>
    <w:pPr>
      <w:bidi/>
    </w:pPr>
    <w:rPr>
      <w:rFonts w:cs="Arial Unicode MS"/>
      <w:color w:val="000000"/>
      <w:kern w:val="2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15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9D"/>
    <w:rPr>
      <w:sz w:val="24"/>
      <w:szCs w:val="24"/>
    </w:rPr>
  </w:style>
  <w:style w:type="paragraph" w:styleId="NoSpacing">
    <w:name w:val="No Spacing"/>
    <w:uiPriority w:val="1"/>
    <w:qFormat/>
    <w:rsid w:val="007A41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F818224E14143AC2A5301D8114513" ma:contentTypeVersion="16" ma:contentTypeDescription="Create a new document." ma:contentTypeScope="" ma:versionID="09b9b5f4703e9ee77c7e08e33eade20e">
  <xsd:schema xmlns:xsd="http://www.w3.org/2001/XMLSchema" xmlns:xs="http://www.w3.org/2001/XMLSchema" xmlns:p="http://schemas.microsoft.com/office/2006/metadata/properties" xmlns:ns2="ad9d3412-28d1-478a-a101-7a03abdb0d66" xmlns:ns3="c5661a78-f258-4963-ae7e-3d6d2a96a4c1" targetNamespace="http://schemas.microsoft.com/office/2006/metadata/properties" ma:root="true" ma:fieldsID="e5d142f455e135bb67d46e98ee2459ce" ns2:_="" ns3:_="">
    <xsd:import namespace="ad9d3412-28d1-478a-a101-7a03abdb0d66"/>
    <xsd:import namespace="c5661a78-f258-4963-ae7e-3d6d2a96a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d3412-28d1-478a-a101-7a03abdb0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43fff2-5269-42c2-8e23-d128043042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1a78-f258-4963-ae7e-3d6d2a96a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19c2d2-0e8a-4055-963d-87f135715f81}" ma:internalName="TaxCatchAll" ma:showField="CatchAllData" ma:web="c5661a78-f258-4963-ae7e-3d6d2a96a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9d3412-28d1-478a-a101-7a03abdb0d66">
      <Terms xmlns="http://schemas.microsoft.com/office/infopath/2007/PartnerControls"/>
    </lcf76f155ced4ddcb4097134ff3c332f>
    <TaxCatchAll xmlns="c5661a78-f258-4963-ae7e-3d6d2a96a4c1" xsi:nil="true"/>
  </documentManagement>
</p:properties>
</file>

<file path=customXml/itemProps1.xml><?xml version="1.0" encoding="utf-8"?>
<ds:datastoreItem xmlns:ds="http://schemas.openxmlformats.org/officeDocument/2006/customXml" ds:itemID="{15D6C697-9F59-4910-B621-2F49558E3E2B}"/>
</file>

<file path=customXml/itemProps2.xml><?xml version="1.0" encoding="utf-8"?>
<ds:datastoreItem xmlns:ds="http://schemas.openxmlformats.org/officeDocument/2006/customXml" ds:itemID="{C08D3FDF-01DF-42FB-8FA9-25601C68472D}"/>
</file>

<file path=customXml/itemProps3.xml><?xml version="1.0" encoding="utf-8"?>
<ds:datastoreItem xmlns:ds="http://schemas.openxmlformats.org/officeDocument/2006/customXml" ds:itemID="{D124A6C5-9317-4923-968D-AB46F35344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Oldfield</dc:creator>
  <cp:lastModifiedBy>Doug Oldfield</cp:lastModifiedBy>
  <cp:revision>2</cp:revision>
  <dcterms:created xsi:type="dcterms:W3CDTF">2022-11-04T10:21:00Z</dcterms:created>
  <dcterms:modified xsi:type="dcterms:W3CDTF">2022-11-04T10:21:00Z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0x010100BFBF818224E14143AC2A5301D8114513</vt:lpwstr>
  </property>
</Properties>
</file>